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A1" w:rsidRDefault="00527491" w:rsidP="00527491">
      <w:pPr>
        <w:jc w:val="both"/>
        <w:textAlignment w:val="top"/>
        <w:outlineLvl w:val="1"/>
        <w:rPr>
          <w:rFonts w:ascii="Lato" w:hAnsi="Lato"/>
          <w:b/>
          <w:bCs/>
          <w:color w:val="008375"/>
          <w:sz w:val="36"/>
          <w:szCs w:val="36"/>
        </w:rPr>
      </w:pPr>
      <w:r w:rsidRPr="00527491">
        <w:rPr>
          <w:rFonts w:ascii="Lato" w:hAnsi="Lato"/>
          <w:b/>
          <w:bCs/>
          <w:color w:val="008375"/>
          <w:sz w:val="36"/>
          <w:szCs w:val="36"/>
        </w:rPr>
        <w:t>My Diabetes- Non-insulin medications</w:t>
      </w:r>
    </w:p>
    <w:p w:rsidR="00527491" w:rsidRDefault="00527491" w:rsidP="003E449D">
      <w:pPr>
        <w:jc w:val="both"/>
        <w:textAlignment w:val="top"/>
        <w:outlineLvl w:val="1"/>
        <w:rPr>
          <w:rFonts w:ascii="Lato" w:hAnsi="Lato"/>
          <w:b/>
          <w:bCs/>
          <w:color w:val="008375"/>
          <w:sz w:val="36"/>
          <w:szCs w:val="36"/>
        </w:rPr>
      </w:pPr>
    </w:p>
    <w:p w:rsidR="008A3EC5" w:rsidRPr="003E449D" w:rsidRDefault="00527491" w:rsidP="00721278">
      <w:pPr>
        <w:jc w:val="both"/>
        <w:rPr>
          <w:rFonts w:ascii="Lato" w:hAnsi="Lato"/>
          <w:b/>
          <w:color w:val="333333"/>
        </w:rPr>
      </w:pPr>
      <w:r w:rsidRPr="003E449D">
        <w:rPr>
          <w:rFonts w:ascii="Lato" w:hAnsi="Lato"/>
          <w:b/>
          <w:color w:val="333333"/>
        </w:rPr>
        <w:t xml:space="preserve">It is important to discuss </w:t>
      </w:r>
      <w:r w:rsidR="00AD68D0" w:rsidRPr="003E449D">
        <w:rPr>
          <w:rFonts w:ascii="Lato" w:hAnsi="Lato"/>
          <w:b/>
          <w:color w:val="333333"/>
        </w:rPr>
        <w:t xml:space="preserve">your diabetes and </w:t>
      </w:r>
      <w:r w:rsidRPr="003E449D">
        <w:rPr>
          <w:rFonts w:ascii="Lato" w:hAnsi="Lato"/>
          <w:b/>
          <w:color w:val="333333"/>
        </w:rPr>
        <w:t>medicine</w:t>
      </w:r>
      <w:r w:rsidR="00AD68D0" w:rsidRPr="003E449D">
        <w:rPr>
          <w:rFonts w:ascii="Lato" w:hAnsi="Lato"/>
          <w:b/>
          <w:color w:val="333333"/>
        </w:rPr>
        <w:t xml:space="preserve"> with your health care professional. </w:t>
      </w:r>
      <w:r w:rsidRPr="003E449D">
        <w:rPr>
          <w:rFonts w:ascii="Lato" w:hAnsi="Lato"/>
          <w:b/>
          <w:color w:val="333333"/>
        </w:rPr>
        <w:t xml:space="preserve">You can go through this leaflet with your healthcare professional or use it to strengthen your understanding of the information in your consultation. </w:t>
      </w:r>
      <w:r w:rsidR="00082003">
        <w:rPr>
          <w:rFonts w:ascii="Lato" w:hAnsi="Lato"/>
          <w:b/>
          <w:color w:val="333333"/>
        </w:rPr>
        <w:t xml:space="preserve"> </w:t>
      </w:r>
    </w:p>
    <w:p w:rsidR="00527491" w:rsidRDefault="00527491" w:rsidP="00721278">
      <w:pPr>
        <w:jc w:val="both"/>
        <w:rPr>
          <w:rFonts w:ascii="Lato" w:hAnsi="Lato"/>
          <w:b/>
          <w:color w:val="333333"/>
        </w:rPr>
      </w:pPr>
      <w:r w:rsidRPr="003E449D">
        <w:rPr>
          <w:rFonts w:ascii="Lato" w:hAnsi="Lato"/>
          <w:b/>
          <w:color w:val="333333"/>
        </w:rPr>
        <w:t>If you would like more information on diabetes</w:t>
      </w:r>
      <w:r w:rsidR="003E449D" w:rsidRPr="003E449D">
        <w:rPr>
          <w:rFonts w:ascii="Lato" w:hAnsi="Lato"/>
          <w:b/>
          <w:color w:val="333333"/>
        </w:rPr>
        <w:t>, medications</w:t>
      </w:r>
      <w:r w:rsidRPr="003E449D">
        <w:rPr>
          <w:rFonts w:ascii="Lato" w:hAnsi="Lato"/>
          <w:b/>
          <w:color w:val="333333"/>
        </w:rPr>
        <w:t xml:space="preserve"> or to securely access your own diabetes information</w:t>
      </w:r>
      <w:r w:rsidR="00AD68D0" w:rsidRPr="003E449D">
        <w:rPr>
          <w:rFonts w:ascii="Lato" w:hAnsi="Lato"/>
          <w:b/>
          <w:color w:val="333333"/>
        </w:rPr>
        <w:t>,</w:t>
      </w:r>
      <w:r w:rsidRPr="003E449D">
        <w:rPr>
          <w:rFonts w:ascii="Lato" w:hAnsi="Lato"/>
          <w:b/>
          <w:color w:val="333333"/>
        </w:rPr>
        <w:t xml:space="preserve"> then please register</w:t>
      </w:r>
      <w:r w:rsidR="00AD68D0" w:rsidRPr="003E449D">
        <w:rPr>
          <w:rFonts w:ascii="Lato" w:hAnsi="Lato"/>
          <w:b/>
          <w:color w:val="333333"/>
        </w:rPr>
        <w:t xml:space="preserve"> </w:t>
      </w:r>
      <w:r w:rsidR="003E449D" w:rsidRPr="003E449D">
        <w:rPr>
          <w:rFonts w:ascii="Lato" w:hAnsi="Lato"/>
          <w:b/>
          <w:color w:val="333333"/>
        </w:rPr>
        <w:t>with</w:t>
      </w:r>
      <w:r w:rsidR="00AD68D0" w:rsidRPr="003E449D">
        <w:rPr>
          <w:rFonts w:ascii="Lato" w:hAnsi="Lato"/>
          <w:b/>
          <w:color w:val="333333"/>
        </w:rPr>
        <w:t xml:space="preserve"> My Diabetes My Way</w:t>
      </w:r>
      <w:r w:rsidRPr="003E449D">
        <w:rPr>
          <w:rFonts w:ascii="Lato" w:hAnsi="Lato"/>
          <w:b/>
          <w:color w:val="333333"/>
        </w:rPr>
        <w:t xml:space="preserve"> via the link or discuss with your diabetes care team. </w:t>
      </w:r>
      <w:r w:rsidR="007E4BE1">
        <w:rPr>
          <w:rFonts w:ascii="Lato" w:hAnsi="Lato"/>
          <w:b/>
          <w:color w:val="333333"/>
        </w:rPr>
        <w:t>This leaflet does not cover every possible side effect. M</w:t>
      </w:r>
      <w:r w:rsidR="00721278">
        <w:rPr>
          <w:rFonts w:ascii="Lato" w:hAnsi="Lato"/>
          <w:b/>
          <w:color w:val="333333"/>
        </w:rPr>
        <w:t xml:space="preserve">ore </w:t>
      </w:r>
      <w:r w:rsidR="007E4BE1">
        <w:rPr>
          <w:rFonts w:ascii="Lato" w:hAnsi="Lato"/>
          <w:b/>
          <w:color w:val="333333"/>
        </w:rPr>
        <w:t xml:space="preserve">detailed </w:t>
      </w:r>
      <w:r w:rsidR="00721278">
        <w:rPr>
          <w:rFonts w:ascii="Lato" w:hAnsi="Lato"/>
          <w:b/>
          <w:color w:val="333333"/>
        </w:rPr>
        <w:t xml:space="preserve">drug information is also available in the leaflet accompanying your medication. </w:t>
      </w:r>
    </w:p>
    <w:p w:rsidR="003E449D" w:rsidRPr="003E449D" w:rsidRDefault="003E449D" w:rsidP="003E449D">
      <w:pPr>
        <w:jc w:val="both"/>
        <w:rPr>
          <w:rFonts w:ascii="Lato" w:hAnsi="Lato"/>
          <w:b/>
          <w:color w:val="333333"/>
        </w:rPr>
      </w:pPr>
    </w:p>
    <w:p w:rsidR="00AD68D0" w:rsidRPr="003E449D" w:rsidRDefault="002465FB" w:rsidP="00921872">
      <w:pPr>
        <w:spacing w:after="144" w:line="336" w:lineRule="atLeast"/>
        <w:jc w:val="both"/>
        <w:rPr>
          <w:rFonts w:ascii="Lato" w:hAnsi="Lato"/>
          <w:color w:val="333333"/>
        </w:rPr>
      </w:pPr>
      <w:hyperlink r:id="rId7" w:history="1">
        <w:r w:rsidR="008A3EC5" w:rsidRPr="003E449D">
          <w:rPr>
            <w:rStyle w:val="Hyperlink"/>
            <w:rFonts w:ascii="Lato" w:hAnsi="Lato"/>
            <w:b/>
          </w:rPr>
          <w:t>https://patient.mydiabetesmyway.scot.nhs.uk/Registration.aspx</w:t>
        </w:r>
      </w:hyperlink>
    </w:p>
    <w:p w:rsidR="003E449D" w:rsidRDefault="003E449D" w:rsidP="00527491">
      <w:pPr>
        <w:jc w:val="both"/>
        <w:textAlignment w:val="top"/>
        <w:outlineLvl w:val="1"/>
        <w:rPr>
          <w:rFonts w:ascii="Lato" w:hAnsi="Lato"/>
          <w:b/>
          <w:bCs/>
          <w:color w:val="008375"/>
          <w:sz w:val="36"/>
          <w:szCs w:val="36"/>
        </w:rPr>
      </w:pPr>
    </w:p>
    <w:p w:rsidR="00AD68D0" w:rsidRDefault="00DE6853" w:rsidP="00527491">
      <w:pPr>
        <w:jc w:val="both"/>
        <w:textAlignment w:val="top"/>
        <w:outlineLvl w:val="1"/>
        <w:rPr>
          <w:rFonts w:ascii="Lato" w:hAnsi="Lato"/>
          <w:b/>
          <w:bCs/>
          <w:color w:val="008375"/>
          <w:sz w:val="28"/>
          <w:szCs w:val="28"/>
        </w:rPr>
      </w:pPr>
      <w:r w:rsidRPr="003E449D">
        <w:rPr>
          <w:rFonts w:ascii="Lato" w:hAnsi="Lato"/>
          <w:b/>
          <w:bCs/>
          <w:color w:val="008375"/>
          <w:sz w:val="28"/>
          <w:szCs w:val="28"/>
        </w:rPr>
        <w:t>HbA1C results and target</w:t>
      </w:r>
    </w:p>
    <w:p w:rsidR="007E4BE1" w:rsidRPr="007E4BE1" w:rsidRDefault="007E4BE1" w:rsidP="00527491">
      <w:pPr>
        <w:jc w:val="both"/>
        <w:textAlignment w:val="top"/>
        <w:outlineLvl w:val="1"/>
        <w:rPr>
          <w:rFonts w:ascii="Lato" w:hAnsi="Lato"/>
          <w:b/>
          <w:bCs/>
          <w:color w:val="008375"/>
        </w:rPr>
      </w:pPr>
    </w:p>
    <w:p w:rsidR="00DE6853" w:rsidRPr="003E449D" w:rsidRDefault="003E449D" w:rsidP="003E449D">
      <w:pPr>
        <w:jc w:val="both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 xml:space="preserve">The </w:t>
      </w:r>
      <w:r w:rsidR="00AD68D0" w:rsidRPr="003E449D">
        <w:rPr>
          <w:rFonts w:ascii="Lato" w:hAnsi="Lato"/>
          <w:color w:val="333333"/>
        </w:rPr>
        <w:t xml:space="preserve">HbA1c blood test </w:t>
      </w:r>
      <w:r>
        <w:rPr>
          <w:rFonts w:ascii="Lato" w:hAnsi="Lato"/>
          <w:color w:val="333333"/>
        </w:rPr>
        <w:t>shows</w:t>
      </w:r>
      <w:r w:rsidR="00AD68D0" w:rsidRPr="003E449D">
        <w:rPr>
          <w:rFonts w:ascii="Lato" w:hAnsi="Lato"/>
          <w:color w:val="333333"/>
        </w:rPr>
        <w:t xml:space="preserve"> how well your blood glucose has been controlled over the previous </w:t>
      </w:r>
      <w:bookmarkStart w:id="0" w:name="_GoBack"/>
      <w:bookmarkEnd w:id="0"/>
      <w:r w:rsidR="00921872" w:rsidRPr="003E449D">
        <w:rPr>
          <w:rFonts w:ascii="Lato" w:hAnsi="Lato"/>
          <w:color w:val="333333"/>
        </w:rPr>
        <w:t>3 months</w:t>
      </w:r>
      <w:r w:rsidR="00AD68D0" w:rsidRPr="003E449D">
        <w:rPr>
          <w:rFonts w:ascii="Lato" w:hAnsi="Lato"/>
          <w:color w:val="333333"/>
        </w:rPr>
        <w:t xml:space="preserve">.  </w:t>
      </w:r>
      <w:r w:rsidR="00921872" w:rsidRPr="003E449D">
        <w:rPr>
          <w:rFonts w:ascii="Lato" w:hAnsi="Lato"/>
          <w:color w:val="333333"/>
        </w:rPr>
        <w:t xml:space="preserve">If your HbA1c is on target, there </w:t>
      </w:r>
      <w:r>
        <w:rPr>
          <w:rFonts w:ascii="Lato" w:hAnsi="Lato"/>
          <w:color w:val="333333"/>
        </w:rPr>
        <w:t>is</w:t>
      </w:r>
      <w:r w:rsidR="00921872" w:rsidRPr="003E449D">
        <w:rPr>
          <w:rFonts w:ascii="Lato" w:hAnsi="Lato"/>
          <w:color w:val="333333"/>
        </w:rPr>
        <w:t xml:space="preserve"> </w:t>
      </w:r>
      <w:r w:rsidR="00AD68D0" w:rsidRPr="003E449D">
        <w:rPr>
          <w:rFonts w:ascii="Lato" w:hAnsi="Lato"/>
          <w:color w:val="333333"/>
        </w:rPr>
        <w:t>less chance of developing diabetes complications.</w:t>
      </w:r>
    </w:p>
    <w:p w:rsidR="00921872" w:rsidRPr="003E449D" w:rsidRDefault="00921872" w:rsidP="003E449D">
      <w:pPr>
        <w:jc w:val="both"/>
        <w:rPr>
          <w:rFonts w:ascii="Lato" w:hAnsi="Lato"/>
          <w:color w:val="333333"/>
        </w:rPr>
      </w:pPr>
    </w:p>
    <w:p w:rsidR="00921872" w:rsidRDefault="00DE6853" w:rsidP="003E449D">
      <w:pPr>
        <w:jc w:val="both"/>
        <w:rPr>
          <w:rFonts w:ascii="Lato" w:hAnsi="Lato"/>
          <w:color w:val="333333"/>
        </w:rPr>
      </w:pPr>
      <w:r w:rsidRPr="003E449D">
        <w:rPr>
          <w:rFonts w:ascii="Lato" w:hAnsi="Lato"/>
          <w:color w:val="333333"/>
        </w:rPr>
        <w:t xml:space="preserve">Guidelines recommend a target </w:t>
      </w:r>
      <w:r w:rsidR="00921872" w:rsidRPr="003E449D">
        <w:rPr>
          <w:rFonts w:ascii="Lato" w:hAnsi="Lato"/>
          <w:color w:val="333333"/>
        </w:rPr>
        <w:t xml:space="preserve">between </w:t>
      </w:r>
      <w:r w:rsidRPr="003E449D">
        <w:rPr>
          <w:rFonts w:ascii="Lato" w:hAnsi="Lato"/>
          <w:color w:val="333333"/>
        </w:rPr>
        <w:t>48</w:t>
      </w:r>
      <w:r w:rsidR="00921872" w:rsidRPr="003E449D">
        <w:rPr>
          <w:rFonts w:ascii="Lato" w:hAnsi="Lato"/>
          <w:color w:val="333333"/>
        </w:rPr>
        <w:t>-</w:t>
      </w:r>
      <w:r w:rsidRPr="003E449D">
        <w:rPr>
          <w:rFonts w:ascii="Lato" w:hAnsi="Lato"/>
          <w:color w:val="333333"/>
        </w:rPr>
        <w:t>58mmol/mol (</w:t>
      </w:r>
      <w:r w:rsidR="00921872" w:rsidRPr="003E449D">
        <w:rPr>
          <w:rFonts w:ascii="Lato" w:hAnsi="Lato"/>
          <w:color w:val="333333"/>
        </w:rPr>
        <w:t>6.5-</w:t>
      </w:r>
      <w:r w:rsidRPr="003E449D">
        <w:rPr>
          <w:rFonts w:ascii="Lato" w:hAnsi="Lato"/>
          <w:color w:val="333333"/>
        </w:rPr>
        <w:t>7.5%) for most people</w:t>
      </w:r>
      <w:r w:rsidR="00921872" w:rsidRPr="003E449D">
        <w:rPr>
          <w:rFonts w:ascii="Lato" w:hAnsi="Lato"/>
          <w:color w:val="333333"/>
        </w:rPr>
        <w:t>.</w:t>
      </w:r>
      <w:r w:rsidRPr="003E449D">
        <w:rPr>
          <w:rFonts w:ascii="Lato" w:hAnsi="Lato"/>
          <w:color w:val="333333"/>
        </w:rPr>
        <w:t xml:space="preserve"> </w:t>
      </w:r>
      <w:r w:rsidR="003E449D" w:rsidRPr="003E449D">
        <w:rPr>
          <w:rFonts w:ascii="Lato" w:hAnsi="Lato"/>
          <w:color w:val="333333"/>
        </w:rPr>
        <w:t>You should agree your own personal HbA1c target with your diabetes care team, as different people will have different targets, depending on their individual circumstances.</w:t>
      </w:r>
    </w:p>
    <w:p w:rsidR="003E449D" w:rsidRPr="003E449D" w:rsidRDefault="003E449D" w:rsidP="003E449D">
      <w:pPr>
        <w:jc w:val="both"/>
        <w:rPr>
          <w:rFonts w:ascii="Lato" w:hAnsi="Lato"/>
          <w:color w:val="333333"/>
        </w:rPr>
      </w:pPr>
    </w:p>
    <w:p w:rsidR="00E71F0B" w:rsidRPr="00E71F0B" w:rsidRDefault="00A8311F" w:rsidP="007565BF">
      <w:pPr>
        <w:spacing w:after="144" w:line="336" w:lineRule="atLeast"/>
        <w:jc w:val="both"/>
        <w:rPr>
          <w:rFonts w:ascii="Lato" w:hAnsi="Lato"/>
          <w:b/>
          <w:color w:val="333333"/>
          <w:sz w:val="26"/>
          <w:szCs w:val="26"/>
        </w:rPr>
      </w:pPr>
      <w:r>
        <w:rPr>
          <w:rFonts w:ascii="Lato" w:hAnsi="Lato"/>
          <w:b/>
          <w:color w:val="333333"/>
          <w:sz w:val="26"/>
          <w:szCs w:val="26"/>
        </w:rPr>
        <w:t>With your diabetes care team</w:t>
      </w:r>
      <w:r w:rsidR="00527491" w:rsidRPr="00A8311F">
        <w:rPr>
          <w:rFonts w:ascii="Lato" w:hAnsi="Lato"/>
          <w:b/>
          <w:color w:val="333333"/>
          <w:sz w:val="26"/>
          <w:szCs w:val="26"/>
        </w:rPr>
        <w:t xml:space="preserve"> mark on the graph what your HbA1c is today and </w:t>
      </w:r>
      <w:r>
        <w:rPr>
          <w:rFonts w:ascii="Lato" w:hAnsi="Lato"/>
          <w:b/>
          <w:color w:val="333333"/>
          <w:sz w:val="26"/>
          <w:szCs w:val="26"/>
        </w:rPr>
        <w:t>what your HbA1c target is.</w:t>
      </w:r>
    </w:p>
    <w:p w:rsidR="009A209B" w:rsidRPr="00E71F0B" w:rsidRDefault="005A2288" w:rsidP="00E71F0B">
      <w:pPr>
        <w:spacing w:after="144" w:line="336" w:lineRule="atLeast"/>
        <w:jc w:val="both"/>
        <w:rPr>
          <w:rFonts w:ascii="Lato" w:hAnsi="Lato"/>
          <w:color w:val="333333"/>
          <w:sz w:val="26"/>
          <w:szCs w:val="26"/>
        </w:rPr>
      </w:pPr>
      <w:r w:rsidRPr="005A2288">
        <w:rPr>
          <w:rFonts w:ascii="Lato" w:hAnsi="Lato"/>
          <w:noProof/>
          <w:color w:val="333333"/>
          <w:sz w:val="26"/>
          <w:szCs w:val="26"/>
          <w:lang w:eastAsia="en-GB"/>
        </w:rPr>
        <w:drawing>
          <wp:inline distT="0" distB="0" distL="0" distR="0">
            <wp:extent cx="5359400" cy="20130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339" cy="202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09B" w:rsidRDefault="009A209B" w:rsidP="003E449D">
      <w:pPr>
        <w:jc w:val="both"/>
        <w:textAlignment w:val="top"/>
        <w:outlineLvl w:val="1"/>
        <w:rPr>
          <w:bCs/>
          <w:color w:val="008375"/>
          <w:sz w:val="28"/>
          <w:szCs w:val="28"/>
        </w:rPr>
      </w:pPr>
    </w:p>
    <w:p w:rsidR="00C97083" w:rsidRPr="00237FFC" w:rsidRDefault="00C97083" w:rsidP="003E449D">
      <w:pPr>
        <w:jc w:val="both"/>
        <w:textAlignment w:val="top"/>
        <w:outlineLvl w:val="1"/>
        <w:rPr>
          <w:rStyle w:val="Emphasis"/>
          <w:b/>
          <w:color w:val="000000"/>
          <w:sz w:val="28"/>
          <w:szCs w:val="28"/>
        </w:rPr>
      </w:pPr>
      <w:r w:rsidRPr="00237FFC">
        <w:rPr>
          <w:bCs/>
          <w:color w:val="008375"/>
          <w:sz w:val="28"/>
          <w:szCs w:val="28"/>
        </w:rPr>
        <w:t>1</w:t>
      </w:r>
      <w:r w:rsidRPr="00237FFC">
        <w:rPr>
          <w:rFonts w:ascii="Lato" w:hAnsi="Lato"/>
          <w:bCs/>
          <w:color w:val="008375"/>
          <w:sz w:val="28"/>
          <w:szCs w:val="28"/>
        </w:rPr>
        <w:t>.</w:t>
      </w:r>
      <w:r w:rsidRPr="00237FFC">
        <w:rPr>
          <w:rStyle w:val="Emphasis"/>
          <w:b/>
          <w:color w:val="000000"/>
          <w:sz w:val="28"/>
          <w:szCs w:val="28"/>
        </w:rPr>
        <w:t xml:space="preserve"> </w:t>
      </w:r>
      <w:r w:rsidRPr="00237FFC">
        <w:rPr>
          <w:rFonts w:ascii="Lato" w:hAnsi="Lato"/>
          <w:bCs/>
          <w:i/>
          <w:iCs/>
          <w:color w:val="008375"/>
          <w:sz w:val="28"/>
          <w:szCs w:val="28"/>
        </w:rPr>
        <w:t>Lifestyle</w:t>
      </w:r>
    </w:p>
    <w:p w:rsidR="00237FFC" w:rsidRDefault="00C97083" w:rsidP="00237FFC">
      <w:pPr>
        <w:jc w:val="both"/>
        <w:rPr>
          <w:rFonts w:ascii="Lato" w:eastAsiaTheme="minorEastAsia" w:hAnsi="Lato"/>
          <w:color w:val="333333"/>
        </w:rPr>
      </w:pPr>
      <w:r w:rsidRPr="00237FFC">
        <w:rPr>
          <w:rFonts w:ascii="Lato" w:eastAsiaTheme="minorEastAsia" w:hAnsi="Lato"/>
          <w:color w:val="333333"/>
        </w:rPr>
        <w:t xml:space="preserve">Optimising diet and </w:t>
      </w:r>
      <w:r w:rsidR="00237FFC" w:rsidRPr="00237FFC">
        <w:rPr>
          <w:rFonts w:ascii="Lato" w:eastAsiaTheme="minorEastAsia" w:hAnsi="Lato"/>
          <w:color w:val="333333"/>
        </w:rPr>
        <w:t>physical activity</w:t>
      </w:r>
      <w:r w:rsidRPr="00237FFC">
        <w:rPr>
          <w:rFonts w:ascii="Lato" w:eastAsiaTheme="minorEastAsia" w:hAnsi="Lato"/>
          <w:color w:val="333333"/>
        </w:rPr>
        <w:t xml:space="preserve"> </w:t>
      </w:r>
      <w:r w:rsidR="00237FFC" w:rsidRPr="00237FFC">
        <w:rPr>
          <w:rFonts w:ascii="Lato" w:eastAsiaTheme="minorEastAsia" w:hAnsi="Lato"/>
          <w:color w:val="333333"/>
        </w:rPr>
        <w:t>are</w:t>
      </w:r>
      <w:r w:rsidRPr="00237FFC">
        <w:rPr>
          <w:rFonts w:ascii="Lato" w:eastAsiaTheme="minorEastAsia" w:hAnsi="Lato"/>
          <w:color w:val="333333"/>
        </w:rPr>
        <w:t xml:space="preserve"> important whatever medications you take. </w:t>
      </w:r>
      <w:r w:rsidR="00237FFC" w:rsidRPr="00237FFC">
        <w:rPr>
          <w:rFonts w:ascii="Lato" w:eastAsiaTheme="minorEastAsia" w:hAnsi="Lato"/>
          <w:color w:val="333333"/>
        </w:rPr>
        <w:t>Y</w:t>
      </w:r>
      <w:r w:rsidRPr="00237FFC">
        <w:rPr>
          <w:rFonts w:ascii="Lato" w:eastAsiaTheme="minorEastAsia" w:hAnsi="Lato"/>
          <w:color w:val="333333"/>
        </w:rPr>
        <w:t>our GP may refer you to the weight management service run by the dietetics department</w:t>
      </w:r>
      <w:r w:rsidR="00237FFC" w:rsidRPr="00237FFC">
        <w:rPr>
          <w:rFonts w:ascii="Lato" w:eastAsiaTheme="minorEastAsia" w:hAnsi="Lato"/>
          <w:color w:val="333333"/>
        </w:rPr>
        <w:t xml:space="preserve"> if your BMI is over 30</w:t>
      </w:r>
      <w:r w:rsidRPr="00237FFC">
        <w:rPr>
          <w:rFonts w:ascii="Lato" w:eastAsiaTheme="minorEastAsia" w:hAnsi="Lato"/>
          <w:color w:val="333333"/>
        </w:rPr>
        <w:t xml:space="preserve">. </w:t>
      </w:r>
      <w:r w:rsidR="00237FFC" w:rsidRPr="00237FFC">
        <w:rPr>
          <w:rFonts w:ascii="Lato" w:eastAsiaTheme="minorEastAsia" w:hAnsi="Lato"/>
          <w:color w:val="333333"/>
        </w:rPr>
        <w:t>Diabetes UK and My Diabetes My Way</w:t>
      </w:r>
      <w:r w:rsidR="00237FFC">
        <w:rPr>
          <w:rFonts w:ascii="Lato" w:eastAsiaTheme="minorEastAsia" w:hAnsi="Lato"/>
          <w:color w:val="333333"/>
        </w:rPr>
        <w:t xml:space="preserve"> provide </w:t>
      </w:r>
      <w:r w:rsidR="00D740CC" w:rsidRPr="00237FFC">
        <w:rPr>
          <w:rFonts w:ascii="Lato" w:eastAsiaTheme="minorEastAsia" w:hAnsi="Lato"/>
          <w:color w:val="333333"/>
        </w:rPr>
        <w:t xml:space="preserve">nutritionally balanced meal plans </w:t>
      </w:r>
      <w:r w:rsidR="00237FFC">
        <w:rPr>
          <w:rFonts w:ascii="Lato" w:eastAsiaTheme="minorEastAsia" w:hAnsi="Lato"/>
          <w:color w:val="333333"/>
        </w:rPr>
        <w:t>online:</w:t>
      </w:r>
    </w:p>
    <w:p w:rsidR="00D740CC" w:rsidRPr="00237FFC" w:rsidRDefault="002465FB" w:rsidP="00237FFC">
      <w:pPr>
        <w:pStyle w:val="ListParagraph"/>
        <w:numPr>
          <w:ilvl w:val="0"/>
          <w:numId w:val="2"/>
        </w:numPr>
        <w:jc w:val="both"/>
        <w:rPr>
          <w:rFonts w:ascii="Lato" w:eastAsiaTheme="minorEastAsia" w:hAnsi="Lato"/>
          <w:color w:val="333333"/>
        </w:rPr>
      </w:pPr>
      <w:hyperlink r:id="rId9" w:history="1">
        <w:r w:rsidR="00D740CC" w:rsidRPr="00237FFC">
          <w:rPr>
            <w:rStyle w:val="Hyperlink"/>
            <w:rFonts w:ascii="Lato" w:eastAsiaTheme="minorEastAsia" w:hAnsi="Lato" w:cs="Times New Roman"/>
          </w:rPr>
          <w:t>https://www.diabetes.org.uk/guide-to-diabetes/enjoy-food/eating-with-diabetes/meal-plans-</w:t>
        </w:r>
      </w:hyperlink>
    </w:p>
    <w:p w:rsidR="00237FFC" w:rsidRDefault="002465FB" w:rsidP="00237FFC">
      <w:pPr>
        <w:pStyle w:val="ListParagraph"/>
        <w:numPr>
          <w:ilvl w:val="0"/>
          <w:numId w:val="2"/>
        </w:numPr>
        <w:jc w:val="both"/>
        <w:rPr>
          <w:rFonts w:ascii="Lato" w:eastAsiaTheme="minorEastAsia" w:hAnsi="Lato" w:cs="Times New Roman"/>
          <w:color w:val="333333"/>
        </w:rPr>
      </w:pPr>
      <w:hyperlink r:id="rId10" w:history="1">
        <w:r w:rsidR="00D740CC" w:rsidRPr="00237FFC">
          <w:rPr>
            <w:rStyle w:val="Hyperlink"/>
            <w:rFonts w:ascii="Lato" w:eastAsiaTheme="minorEastAsia" w:hAnsi="Lato" w:cs="Times New Roman"/>
          </w:rPr>
          <w:t>https://www.mydiabetesmyway.scot.nhs.uk/ContentSubSections.aspx?id=5</w:t>
        </w:r>
      </w:hyperlink>
      <w:r w:rsidR="00C97083" w:rsidRPr="00237FFC">
        <w:rPr>
          <w:rFonts w:ascii="Lato" w:eastAsiaTheme="minorEastAsia" w:hAnsi="Lato" w:cs="Times New Roman"/>
          <w:color w:val="333333"/>
        </w:rPr>
        <w:t>)</w:t>
      </w:r>
      <w:r w:rsidR="00D740CC" w:rsidRPr="00237FFC">
        <w:rPr>
          <w:rFonts w:ascii="Lato" w:eastAsiaTheme="minorEastAsia" w:hAnsi="Lato" w:cs="Times New Roman"/>
          <w:color w:val="333333"/>
        </w:rPr>
        <w:tab/>
      </w:r>
    </w:p>
    <w:p w:rsidR="00C97083" w:rsidRPr="00CB3C16" w:rsidRDefault="003E449D" w:rsidP="00527491">
      <w:pPr>
        <w:jc w:val="both"/>
        <w:rPr>
          <w:rFonts w:ascii="Lato" w:eastAsiaTheme="minorEastAsia" w:hAnsi="Lato"/>
          <w:color w:val="333333"/>
          <w:sz w:val="28"/>
          <w:szCs w:val="28"/>
        </w:rPr>
      </w:pPr>
      <w:r w:rsidRPr="00CB3C16">
        <w:rPr>
          <w:bCs/>
          <w:i/>
          <w:iCs/>
          <w:color w:val="008375"/>
          <w:sz w:val="28"/>
          <w:szCs w:val="28"/>
        </w:rPr>
        <w:t>2. Medications</w:t>
      </w:r>
    </w:p>
    <w:tbl>
      <w:tblPr>
        <w:tblStyle w:val="TableGrid"/>
        <w:tblW w:w="10207" w:type="dxa"/>
        <w:tblInd w:w="-431" w:type="dxa"/>
        <w:tblLook w:val="04A0"/>
      </w:tblPr>
      <w:tblGrid>
        <w:gridCol w:w="2347"/>
        <w:gridCol w:w="3324"/>
        <w:gridCol w:w="4536"/>
      </w:tblGrid>
      <w:tr w:rsidR="00237FFC" w:rsidTr="005A2288">
        <w:trPr>
          <w:trHeight w:val="90"/>
        </w:trPr>
        <w:tc>
          <w:tcPr>
            <w:tcW w:w="2347" w:type="dxa"/>
            <w:tcBorders>
              <w:bottom w:val="nil"/>
            </w:tcBorders>
          </w:tcPr>
          <w:p w:rsidR="003E449D" w:rsidRPr="005A2288" w:rsidRDefault="003E449D" w:rsidP="00237FFC">
            <w:pPr>
              <w:jc w:val="both"/>
              <w:rPr>
                <w:rFonts w:ascii="Lato" w:eastAsiaTheme="minorEastAsia" w:hAnsi="Lato"/>
                <w:b/>
                <w:color w:val="333333"/>
              </w:rPr>
            </w:pPr>
          </w:p>
        </w:tc>
        <w:tc>
          <w:tcPr>
            <w:tcW w:w="3324" w:type="dxa"/>
            <w:tcBorders>
              <w:bottom w:val="nil"/>
            </w:tcBorders>
          </w:tcPr>
          <w:p w:rsidR="003E449D" w:rsidRPr="005A2288" w:rsidRDefault="003E449D" w:rsidP="00237FFC">
            <w:pPr>
              <w:jc w:val="both"/>
              <w:rPr>
                <w:rFonts w:ascii="Lato" w:eastAsiaTheme="minorEastAsia" w:hAnsi="Lato"/>
                <w:b/>
                <w:color w:val="333333"/>
              </w:rPr>
            </w:pPr>
            <w:r w:rsidRPr="005A2288">
              <w:rPr>
                <w:rFonts w:ascii="Lato" w:eastAsiaTheme="minorEastAsia" w:hAnsi="Lato"/>
                <w:b/>
                <w:color w:val="333333"/>
              </w:rPr>
              <w:t>BENEFITS</w:t>
            </w:r>
          </w:p>
        </w:tc>
        <w:tc>
          <w:tcPr>
            <w:tcW w:w="4536" w:type="dxa"/>
            <w:tcBorders>
              <w:bottom w:val="nil"/>
            </w:tcBorders>
          </w:tcPr>
          <w:p w:rsidR="003E449D" w:rsidRPr="005A2288" w:rsidRDefault="003E449D" w:rsidP="00237FFC">
            <w:pPr>
              <w:jc w:val="both"/>
              <w:rPr>
                <w:rFonts w:ascii="Lato" w:eastAsiaTheme="minorEastAsia" w:hAnsi="Lato"/>
                <w:b/>
                <w:color w:val="333333"/>
              </w:rPr>
            </w:pPr>
            <w:r w:rsidRPr="005A2288">
              <w:rPr>
                <w:rFonts w:ascii="Lato" w:eastAsiaTheme="minorEastAsia" w:hAnsi="Lato"/>
                <w:b/>
                <w:color w:val="333333"/>
              </w:rPr>
              <w:t>RISKS</w:t>
            </w:r>
          </w:p>
        </w:tc>
      </w:tr>
      <w:tr w:rsidR="00CB3C16" w:rsidTr="00CB3C16">
        <w:tc>
          <w:tcPr>
            <w:tcW w:w="2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49D" w:rsidRPr="00931856" w:rsidRDefault="003E449D" w:rsidP="00860D57">
            <w:pPr>
              <w:jc w:val="both"/>
              <w:rPr>
                <w:rFonts w:ascii="Lato" w:eastAsiaTheme="minorEastAsia" w:hAnsi="Lato"/>
                <w:b/>
                <w:i/>
                <w:color w:val="333333"/>
              </w:rPr>
            </w:pPr>
            <w:r w:rsidRPr="00931856">
              <w:rPr>
                <w:rFonts w:ascii="Lato" w:eastAsiaTheme="minorEastAsia" w:hAnsi="Lato"/>
                <w:b/>
                <w:i/>
                <w:color w:val="333333"/>
              </w:rPr>
              <w:t>Metformi</w:t>
            </w:r>
            <w:r w:rsidR="00931856" w:rsidRPr="00931856">
              <w:rPr>
                <w:rFonts w:ascii="Lato" w:eastAsiaTheme="minorEastAsia" w:hAnsi="Lato"/>
                <w:b/>
                <w:i/>
                <w:color w:val="333333"/>
              </w:rPr>
              <w:t>n</w:t>
            </w:r>
          </w:p>
        </w:tc>
        <w:tc>
          <w:tcPr>
            <w:tcW w:w="3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Low hypoglycaemia risk</w:t>
            </w:r>
          </w:p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No weight</w:t>
            </w:r>
            <w:r w:rsidR="00237FFC">
              <w:rPr>
                <w:rFonts w:ascii="Lato" w:eastAsiaTheme="minorEastAsia" w:hAnsi="Lato"/>
                <w:color w:val="333333"/>
              </w:rPr>
              <w:t>-</w:t>
            </w:r>
            <w:r w:rsidRPr="00237FFC">
              <w:rPr>
                <w:rFonts w:ascii="Lato" w:eastAsiaTheme="minorEastAsia" w:hAnsi="Lato"/>
                <w:color w:val="333333"/>
              </w:rPr>
              <w:t>gain</w:t>
            </w:r>
          </w:p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 xml:space="preserve">Safe in pregnancy </w:t>
            </w:r>
          </w:p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 xml:space="preserve">Improves survival </w:t>
            </w:r>
            <w:r w:rsidR="00CB3C16">
              <w:rPr>
                <w:rFonts w:ascii="Lato" w:eastAsiaTheme="minorEastAsia" w:hAnsi="Lato"/>
                <w:color w:val="333333"/>
              </w:rPr>
              <w:t>&amp;</w:t>
            </w:r>
            <w:r w:rsidR="00860D57">
              <w:rPr>
                <w:rFonts w:ascii="Lato" w:eastAsiaTheme="minorEastAsia" w:hAnsi="Lato"/>
                <w:color w:val="333333"/>
              </w:rPr>
              <w:t xml:space="preserve"> risk of </w:t>
            </w:r>
            <w:r w:rsidRPr="00237FFC">
              <w:rPr>
                <w:rFonts w:ascii="Lato" w:eastAsiaTheme="minorEastAsia" w:hAnsi="Lato"/>
                <w:color w:val="333333"/>
              </w:rPr>
              <w:t>heart disea</w:t>
            </w:r>
            <w:r w:rsidR="00860D57">
              <w:rPr>
                <w:rFonts w:ascii="Lato" w:eastAsiaTheme="minorEastAsia" w:hAnsi="Lato"/>
                <w:color w:val="333333"/>
              </w:rPr>
              <w:t>se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Stomach upsets e.g. diarrhoea</w:t>
            </w:r>
          </w:p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 xml:space="preserve">Unsuitable for people with severe kidney or liver </w:t>
            </w:r>
            <w:r w:rsidR="005A2288">
              <w:rPr>
                <w:rFonts w:ascii="Lato" w:eastAsiaTheme="minorEastAsia" w:hAnsi="Lato"/>
                <w:color w:val="333333"/>
              </w:rPr>
              <w:t>disease</w:t>
            </w:r>
          </w:p>
          <w:p w:rsidR="003E449D" w:rsidRPr="00237FFC" w:rsidRDefault="00860D57" w:rsidP="00860D57">
            <w:pPr>
              <w:rPr>
                <w:rFonts w:ascii="Lato" w:eastAsiaTheme="minorEastAsia" w:hAnsi="Lato"/>
                <w:color w:val="333333"/>
              </w:rPr>
            </w:pPr>
            <w:r>
              <w:rPr>
                <w:rFonts w:ascii="Lato" w:eastAsiaTheme="minorEastAsia" w:hAnsi="Lato"/>
                <w:color w:val="333333"/>
              </w:rPr>
              <w:t>S</w:t>
            </w:r>
            <w:r w:rsidR="003E449D" w:rsidRPr="00237FFC">
              <w:rPr>
                <w:rFonts w:ascii="Lato" w:eastAsiaTheme="minorEastAsia" w:hAnsi="Lato"/>
                <w:color w:val="333333"/>
              </w:rPr>
              <w:t>ick day rules in case of dehydration</w:t>
            </w:r>
          </w:p>
        </w:tc>
      </w:tr>
      <w:tr w:rsidR="000338E5" w:rsidRPr="000338E5" w:rsidTr="00CB3C16"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5" w:rsidRPr="000338E5" w:rsidRDefault="002465FB" w:rsidP="00860D57">
            <w:pPr>
              <w:pStyle w:val="NormalWeb"/>
              <w:spacing w:before="0" w:beforeAutospacing="0" w:after="0" w:afterAutospacing="0"/>
              <w:jc w:val="both"/>
              <w:rPr>
                <w:rFonts w:ascii="Lato" w:hAnsi="Lato"/>
                <w:color w:val="333333"/>
              </w:rPr>
            </w:pPr>
            <w:hyperlink r:id="rId11" w:history="1">
              <w:r w:rsidR="000338E5" w:rsidRPr="000338E5">
                <w:rPr>
                  <w:rStyle w:val="Hyperlink"/>
                  <w:rFonts w:ascii="Lato" w:hAnsi="Lato"/>
                </w:rPr>
                <w:t>https://patient.info/medicine/metformin-for-diabetes</w:t>
              </w:r>
            </w:hyperlink>
          </w:p>
        </w:tc>
      </w:tr>
      <w:tr w:rsidR="00CB3C16" w:rsidTr="00CB3C16">
        <w:tc>
          <w:tcPr>
            <w:tcW w:w="2347" w:type="dxa"/>
            <w:tcBorders>
              <w:top w:val="single" w:sz="4" w:space="0" w:color="auto"/>
              <w:bottom w:val="nil"/>
            </w:tcBorders>
          </w:tcPr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b/>
                <w:color w:val="333333"/>
              </w:rPr>
              <w:t xml:space="preserve">Sulphonylureas </w:t>
            </w:r>
            <w:r w:rsidRPr="00237FFC">
              <w:rPr>
                <w:rFonts w:ascii="Lato" w:eastAsiaTheme="minorEastAsia" w:hAnsi="Lato"/>
                <w:i/>
                <w:color w:val="333333"/>
              </w:rPr>
              <w:t>(Gliclazide or Glipizide)</w:t>
            </w:r>
          </w:p>
          <w:p w:rsidR="003E449D" w:rsidRPr="00237FFC" w:rsidRDefault="003E449D" w:rsidP="00860D57">
            <w:pPr>
              <w:jc w:val="both"/>
              <w:rPr>
                <w:rFonts w:ascii="Lato" w:eastAsiaTheme="minorEastAsia" w:hAnsi="Lato"/>
                <w:color w:val="333333"/>
              </w:rPr>
            </w:pPr>
          </w:p>
        </w:tc>
        <w:tc>
          <w:tcPr>
            <w:tcW w:w="3324" w:type="dxa"/>
            <w:tcBorders>
              <w:top w:val="single" w:sz="4" w:space="0" w:color="auto"/>
              <w:bottom w:val="nil"/>
            </w:tcBorders>
          </w:tcPr>
          <w:p w:rsidR="003E449D" w:rsidRPr="00237FFC" w:rsidRDefault="00860D57" w:rsidP="00860D57">
            <w:pPr>
              <w:rPr>
                <w:rFonts w:ascii="Lato" w:eastAsiaTheme="minorEastAsia" w:hAnsi="Lato"/>
                <w:color w:val="333333"/>
              </w:rPr>
            </w:pPr>
            <w:r>
              <w:rPr>
                <w:rFonts w:ascii="Lato" w:eastAsiaTheme="minorEastAsia" w:hAnsi="Lato"/>
                <w:color w:val="333333"/>
              </w:rPr>
              <w:t>L</w:t>
            </w:r>
            <w:r w:rsidR="003E449D" w:rsidRPr="00237FFC">
              <w:rPr>
                <w:rFonts w:ascii="Lato" w:eastAsiaTheme="minorEastAsia" w:hAnsi="Lato"/>
                <w:color w:val="333333"/>
              </w:rPr>
              <w:t>ower</w:t>
            </w:r>
            <w:r>
              <w:rPr>
                <w:rFonts w:ascii="Lato" w:eastAsiaTheme="minorEastAsia" w:hAnsi="Lato"/>
                <w:color w:val="333333"/>
              </w:rPr>
              <w:t>s</w:t>
            </w:r>
            <w:r w:rsidR="003E449D" w:rsidRPr="00237FFC">
              <w:rPr>
                <w:rFonts w:ascii="Lato" w:eastAsiaTheme="minorEastAsia" w:hAnsi="Lato"/>
                <w:color w:val="333333"/>
              </w:rPr>
              <w:t xml:space="preserve"> blood sugar</w:t>
            </w:r>
            <w:r>
              <w:rPr>
                <w:rFonts w:ascii="Lato" w:eastAsiaTheme="minorEastAsia" w:hAnsi="Lato"/>
                <w:color w:val="333333"/>
              </w:rPr>
              <w:t xml:space="preserve"> </w:t>
            </w:r>
            <w:r w:rsidR="003E449D" w:rsidRPr="00237FFC">
              <w:rPr>
                <w:rFonts w:ascii="Lato" w:eastAsiaTheme="minorEastAsia" w:hAnsi="Lato"/>
                <w:color w:val="333333"/>
              </w:rPr>
              <w:t>quickly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Moderate hypoglycaemia risk:</w:t>
            </w:r>
          </w:p>
          <w:p w:rsidR="003E449D" w:rsidRPr="00237FFC" w:rsidRDefault="00237FFC" w:rsidP="00860D57">
            <w:pPr>
              <w:rPr>
                <w:rFonts w:ascii="Lato" w:eastAsiaTheme="minorEastAsia" w:hAnsi="Lato"/>
                <w:color w:val="333333"/>
              </w:rPr>
            </w:pPr>
            <w:r>
              <w:rPr>
                <w:rFonts w:ascii="Lato" w:eastAsiaTheme="minorEastAsia" w:hAnsi="Lato"/>
                <w:color w:val="333333"/>
              </w:rPr>
              <w:t>Possible implications</w:t>
            </w:r>
            <w:r w:rsidR="003E449D" w:rsidRPr="00237FFC">
              <w:rPr>
                <w:rFonts w:ascii="Lato" w:eastAsiaTheme="minorEastAsia" w:hAnsi="Lato"/>
                <w:color w:val="333333"/>
              </w:rPr>
              <w:t xml:space="preserve"> for driving</w:t>
            </w:r>
            <w:r>
              <w:rPr>
                <w:rFonts w:ascii="Lato" w:eastAsiaTheme="minorEastAsia" w:hAnsi="Lato"/>
                <w:color w:val="333333"/>
              </w:rPr>
              <w:t>*</w:t>
            </w:r>
          </w:p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 xml:space="preserve">Weight gain </w:t>
            </w:r>
          </w:p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Mild indigestion, headaches</w:t>
            </w:r>
          </w:p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Not safe in pregnancy</w:t>
            </w:r>
          </w:p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 xml:space="preserve">No heart disease or survival benefit </w:t>
            </w:r>
          </w:p>
        </w:tc>
      </w:tr>
      <w:tr w:rsidR="000338E5" w:rsidTr="00CB3C16"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E5" w:rsidRPr="00860D57" w:rsidRDefault="002465FB" w:rsidP="00860D57">
            <w:pPr>
              <w:pStyle w:val="NormalWeb"/>
              <w:spacing w:before="0" w:beforeAutospacing="0" w:after="0" w:afterAutospacing="0"/>
              <w:jc w:val="both"/>
              <w:rPr>
                <w:rFonts w:ascii="Lato" w:hAnsi="Lato"/>
                <w:color w:val="333333"/>
              </w:rPr>
            </w:pPr>
            <w:hyperlink r:id="rId12" w:history="1">
              <w:r w:rsidR="00860D57" w:rsidRPr="00860D57">
                <w:rPr>
                  <w:rStyle w:val="Hyperlink"/>
                  <w:rFonts w:ascii="Lato" w:hAnsi="Lato"/>
                </w:rPr>
                <w:t>https://patient.info/medicine/gliclazide-bilxona-diamicron-laaglyda-nazdol-zicron</w:t>
              </w:r>
            </w:hyperlink>
            <w:r w:rsidR="00860D57" w:rsidRPr="00860D57">
              <w:rPr>
                <w:rFonts w:ascii="Lato" w:hAnsi="Lato"/>
                <w:color w:val="333333"/>
              </w:rPr>
              <w:tab/>
            </w:r>
          </w:p>
        </w:tc>
      </w:tr>
      <w:tr w:rsidR="00CB3C16" w:rsidTr="00CB3C16">
        <w:tc>
          <w:tcPr>
            <w:tcW w:w="2347" w:type="dxa"/>
            <w:tcBorders>
              <w:top w:val="single" w:sz="4" w:space="0" w:color="auto"/>
              <w:bottom w:val="nil"/>
            </w:tcBorders>
          </w:tcPr>
          <w:p w:rsidR="003E449D" w:rsidRPr="00237FFC" w:rsidRDefault="003E449D" w:rsidP="00860D57">
            <w:pPr>
              <w:jc w:val="both"/>
              <w:rPr>
                <w:rFonts w:ascii="Lato" w:eastAsiaTheme="minorEastAsia" w:hAnsi="Lato"/>
                <w:b/>
                <w:color w:val="333333"/>
              </w:rPr>
            </w:pPr>
            <w:r w:rsidRPr="00237FFC">
              <w:rPr>
                <w:rFonts w:ascii="Lato" w:eastAsiaTheme="minorEastAsia" w:hAnsi="Lato"/>
                <w:b/>
                <w:color w:val="333333"/>
              </w:rPr>
              <w:t>DPP IV inhibitors</w:t>
            </w:r>
          </w:p>
          <w:p w:rsidR="003E449D" w:rsidRPr="00237FFC" w:rsidRDefault="003E449D" w:rsidP="00860D57">
            <w:pPr>
              <w:jc w:val="both"/>
              <w:rPr>
                <w:rFonts w:ascii="Lato" w:eastAsiaTheme="minorEastAsia" w:hAnsi="Lato"/>
                <w:i/>
                <w:color w:val="333333"/>
              </w:rPr>
            </w:pPr>
            <w:r w:rsidRPr="00237FFC">
              <w:rPr>
                <w:rFonts w:ascii="Lato" w:eastAsiaTheme="minorEastAsia" w:hAnsi="Lato"/>
                <w:i/>
                <w:color w:val="333333"/>
              </w:rPr>
              <w:t>(Sitagliptin)</w:t>
            </w:r>
          </w:p>
        </w:tc>
        <w:tc>
          <w:tcPr>
            <w:tcW w:w="3324" w:type="dxa"/>
            <w:tcBorders>
              <w:top w:val="single" w:sz="4" w:space="0" w:color="auto"/>
              <w:bottom w:val="nil"/>
            </w:tcBorders>
          </w:tcPr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Low hypoglycaemia risk</w:t>
            </w:r>
          </w:p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No weight</w:t>
            </w:r>
            <w:r w:rsidR="00860D57">
              <w:rPr>
                <w:rFonts w:ascii="Lato" w:eastAsiaTheme="minorEastAsia" w:hAnsi="Lato"/>
                <w:color w:val="333333"/>
              </w:rPr>
              <w:t>-</w:t>
            </w:r>
            <w:r w:rsidRPr="00237FFC">
              <w:rPr>
                <w:rFonts w:ascii="Lato" w:eastAsiaTheme="minorEastAsia" w:hAnsi="Lato"/>
                <w:color w:val="333333"/>
              </w:rPr>
              <w:t>gain</w:t>
            </w:r>
          </w:p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Low rate of side effects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3E449D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Rare risk of pancreatitis</w:t>
            </w:r>
          </w:p>
          <w:p w:rsidR="000338E5" w:rsidRPr="00237FFC" w:rsidRDefault="000338E5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Not safe in pregnancy</w:t>
            </w:r>
          </w:p>
          <w:p w:rsidR="003E449D" w:rsidRPr="00237FFC" w:rsidRDefault="003E449D" w:rsidP="00860D57">
            <w:pPr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No heart disease or survival benefit</w:t>
            </w:r>
          </w:p>
        </w:tc>
      </w:tr>
      <w:tr w:rsidR="00860D57" w:rsidTr="00CB3C16">
        <w:tc>
          <w:tcPr>
            <w:tcW w:w="102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57" w:rsidRPr="00860D57" w:rsidRDefault="002465FB" w:rsidP="00860D57">
            <w:pPr>
              <w:pStyle w:val="NormalWeb"/>
              <w:spacing w:before="0" w:beforeAutospacing="0" w:after="0" w:afterAutospacing="0"/>
              <w:jc w:val="both"/>
              <w:rPr>
                <w:rFonts w:ascii="Lato" w:hAnsi="Lato"/>
                <w:color w:val="333333"/>
              </w:rPr>
            </w:pPr>
            <w:hyperlink r:id="rId13" w:history="1">
              <w:r w:rsidR="00860D57" w:rsidRPr="00860D57">
                <w:rPr>
                  <w:rStyle w:val="Hyperlink"/>
                  <w:rFonts w:ascii="Lato" w:hAnsi="Lato"/>
                </w:rPr>
                <w:t>https://patient.info/medicine/sitagliptin-for-diabetes-januvia</w:t>
              </w:r>
            </w:hyperlink>
            <w:r w:rsidR="00860D57" w:rsidRPr="00860D57">
              <w:rPr>
                <w:rFonts w:ascii="Lato" w:hAnsi="Lato"/>
                <w:color w:val="333333"/>
              </w:rPr>
              <w:tab/>
            </w:r>
          </w:p>
        </w:tc>
      </w:tr>
      <w:tr w:rsidR="00CB3C16" w:rsidTr="00CB3C16">
        <w:tc>
          <w:tcPr>
            <w:tcW w:w="2347" w:type="dxa"/>
            <w:tcBorders>
              <w:top w:val="single" w:sz="4" w:space="0" w:color="auto"/>
              <w:bottom w:val="nil"/>
            </w:tcBorders>
          </w:tcPr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b/>
                <w:color w:val="333333"/>
              </w:rPr>
              <w:t>SGLT2 inhibitors</w:t>
            </w:r>
            <w:r w:rsidRPr="00237FFC">
              <w:rPr>
                <w:rFonts w:ascii="Lato" w:eastAsiaTheme="minorEastAsia" w:hAnsi="Lato"/>
                <w:color w:val="333333"/>
              </w:rPr>
              <w:t xml:space="preserve"> </w:t>
            </w:r>
            <w:r w:rsidRPr="00237FFC">
              <w:rPr>
                <w:rFonts w:ascii="Lato" w:eastAsiaTheme="minorEastAsia" w:hAnsi="Lato"/>
                <w:i/>
                <w:color w:val="333333"/>
              </w:rPr>
              <w:t>(Empaglifozin)</w:t>
            </w:r>
          </w:p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</w:p>
        </w:tc>
        <w:tc>
          <w:tcPr>
            <w:tcW w:w="3324" w:type="dxa"/>
            <w:tcBorders>
              <w:top w:val="single" w:sz="4" w:space="0" w:color="auto"/>
              <w:bottom w:val="nil"/>
            </w:tcBorders>
          </w:tcPr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 xml:space="preserve">Weight loss </w:t>
            </w:r>
          </w:p>
          <w:p w:rsidR="003E449D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 xml:space="preserve">Lowers blood pressure </w:t>
            </w:r>
          </w:p>
          <w:p w:rsidR="005A2288" w:rsidRPr="00237FFC" w:rsidRDefault="005A2288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>
              <w:rPr>
                <w:rFonts w:ascii="Lato" w:eastAsiaTheme="minorEastAsia" w:hAnsi="Lato"/>
                <w:color w:val="333333"/>
              </w:rPr>
              <w:t>Improves survival &amp; risk of heart disease</w:t>
            </w:r>
          </w:p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Increased risk of urin</w:t>
            </w:r>
            <w:r w:rsidR="00860D57">
              <w:rPr>
                <w:rFonts w:ascii="Lato" w:eastAsiaTheme="minorEastAsia" w:hAnsi="Lato"/>
                <w:color w:val="333333"/>
              </w:rPr>
              <w:t>e</w:t>
            </w:r>
            <w:r w:rsidRPr="00237FFC">
              <w:rPr>
                <w:rFonts w:ascii="Lato" w:eastAsiaTheme="minorEastAsia" w:hAnsi="Lato"/>
                <w:color w:val="333333"/>
              </w:rPr>
              <w:t xml:space="preserve"> infections</w:t>
            </w:r>
            <w:r w:rsidR="00860D57">
              <w:rPr>
                <w:rFonts w:ascii="Lato" w:eastAsiaTheme="minorEastAsia" w:hAnsi="Lato"/>
                <w:color w:val="333333"/>
              </w:rPr>
              <w:t>/</w:t>
            </w:r>
            <w:r w:rsidRPr="00237FFC">
              <w:rPr>
                <w:rFonts w:ascii="Lato" w:eastAsiaTheme="minorEastAsia" w:hAnsi="Lato"/>
                <w:color w:val="333333"/>
              </w:rPr>
              <w:t>thrush</w:t>
            </w:r>
          </w:p>
          <w:p w:rsidR="003E449D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Small risk of ketoacidosis (a severe complication caus</w:t>
            </w:r>
            <w:r w:rsidR="000338E5">
              <w:rPr>
                <w:rFonts w:ascii="Lato" w:eastAsiaTheme="minorEastAsia" w:hAnsi="Lato"/>
                <w:color w:val="333333"/>
              </w:rPr>
              <w:t>ing</w:t>
            </w:r>
            <w:r w:rsidRPr="00237FFC">
              <w:rPr>
                <w:rFonts w:ascii="Lato" w:eastAsiaTheme="minorEastAsia" w:hAnsi="Lato"/>
                <w:color w:val="333333"/>
              </w:rPr>
              <w:t xml:space="preserve"> vomiting and </w:t>
            </w:r>
            <w:r w:rsidR="00860D57">
              <w:rPr>
                <w:rFonts w:ascii="Lato" w:eastAsiaTheme="minorEastAsia" w:hAnsi="Lato"/>
                <w:color w:val="333333"/>
              </w:rPr>
              <w:t>stomach</w:t>
            </w:r>
            <w:r w:rsidRPr="00237FFC">
              <w:rPr>
                <w:rFonts w:ascii="Lato" w:eastAsiaTheme="minorEastAsia" w:hAnsi="Lato"/>
                <w:color w:val="333333"/>
              </w:rPr>
              <w:t xml:space="preserve"> pain)</w:t>
            </w:r>
          </w:p>
          <w:p w:rsidR="00A83F12" w:rsidRPr="00237FFC" w:rsidRDefault="00A83F12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>
              <w:rPr>
                <w:rFonts w:ascii="Lato" w:eastAsiaTheme="minorEastAsia" w:hAnsi="Lato"/>
                <w:color w:val="333333"/>
              </w:rPr>
              <w:t>Slightly increased risk of ulcers</w:t>
            </w:r>
          </w:p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Not safe in pregnancy</w:t>
            </w:r>
          </w:p>
          <w:p w:rsidR="003E449D" w:rsidRPr="00237FFC" w:rsidRDefault="00860D57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>
              <w:rPr>
                <w:rFonts w:ascii="Lato" w:eastAsiaTheme="minorEastAsia" w:hAnsi="Lato"/>
                <w:color w:val="333333"/>
              </w:rPr>
              <w:t>S</w:t>
            </w:r>
            <w:r w:rsidR="003E449D" w:rsidRPr="00237FFC">
              <w:rPr>
                <w:rFonts w:ascii="Lato" w:eastAsiaTheme="minorEastAsia" w:hAnsi="Lato"/>
                <w:color w:val="333333"/>
              </w:rPr>
              <w:t xml:space="preserve">ick day rules in case of dehydration </w:t>
            </w:r>
          </w:p>
        </w:tc>
      </w:tr>
      <w:tr w:rsidR="00860D57" w:rsidTr="00CB3C16">
        <w:tc>
          <w:tcPr>
            <w:tcW w:w="10207" w:type="dxa"/>
            <w:gridSpan w:val="3"/>
            <w:tcBorders>
              <w:top w:val="nil"/>
            </w:tcBorders>
          </w:tcPr>
          <w:p w:rsidR="00860D57" w:rsidRPr="00860D57" w:rsidRDefault="002465FB" w:rsidP="00860D57">
            <w:pPr>
              <w:pStyle w:val="NormalWeb"/>
              <w:spacing w:before="0" w:beforeAutospacing="0" w:after="0" w:afterAutospacing="0"/>
              <w:jc w:val="both"/>
              <w:rPr>
                <w:rFonts w:ascii="Lato" w:hAnsi="Lato"/>
                <w:color w:val="333333"/>
              </w:rPr>
            </w:pPr>
            <w:hyperlink r:id="rId14" w:history="1">
              <w:r w:rsidR="00860D57" w:rsidRPr="00860D57">
                <w:rPr>
                  <w:rStyle w:val="Hyperlink"/>
                  <w:rFonts w:ascii="Lato" w:hAnsi="Lato"/>
                </w:rPr>
                <w:t>https://patient.info/medicine/empagliflozin-tablets-for-diabetes-jardiance</w:t>
              </w:r>
            </w:hyperlink>
            <w:r w:rsidR="00860D57" w:rsidRPr="00860D57">
              <w:rPr>
                <w:rFonts w:ascii="Lato" w:hAnsi="Lato"/>
                <w:color w:val="333333"/>
              </w:rPr>
              <w:tab/>
            </w:r>
          </w:p>
        </w:tc>
      </w:tr>
      <w:tr w:rsidR="00237FFC" w:rsidTr="00CB3C16">
        <w:tc>
          <w:tcPr>
            <w:tcW w:w="2347" w:type="dxa"/>
            <w:tcBorders>
              <w:bottom w:val="nil"/>
            </w:tcBorders>
          </w:tcPr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b/>
                <w:color w:val="333333"/>
              </w:rPr>
              <w:t>Thiazolidinediones</w:t>
            </w:r>
            <w:r w:rsidRPr="00237FFC">
              <w:rPr>
                <w:rFonts w:ascii="Lato" w:eastAsiaTheme="minorEastAsia" w:hAnsi="Lato"/>
                <w:color w:val="333333"/>
              </w:rPr>
              <w:t xml:space="preserve"> </w:t>
            </w:r>
            <w:r w:rsidRPr="00237FFC">
              <w:rPr>
                <w:rFonts w:ascii="Lato" w:eastAsiaTheme="minorEastAsia" w:hAnsi="Lato"/>
                <w:i/>
                <w:color w:val="333333"/>
              </w:rPr>
              <w:t>(Pioglitazone)</w:t>
            </w:r>
          </w:p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</w:p>
        </w:tc>
        <w:tc>
          <w:tcPr>
            <w:tcW w:w="3324" w:type="dxa"/>
            <w:tcBorders>
              <w:bottom w:val="nil"/>
            </w:tcBorders>
          </w:tcPr>
          <w:p w:rsidR="003E449D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Low hypoglycaemia risk</w:t>
            </w:r>
          </w:p>
          <w:p w:rsidR="00E71F0B" w:rsidRPr="00237FFC" w:rsidRDefault="00E71F0B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>
              <w:rPr>
                <w:rFonts w:ascii="Lato" w:eastAsiaTheme="minorEastAsia" w:hAnsi="Lato"/>
                <w:color w:val="333333"/>
              </w:rPr>
              <w:t>Probable improvement in risk of heart disease</w:t>
            </w:r>
          </w:p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Fluid retention</w:t>
            </w:r>
            <w:r w:rsidR="000338E5">
              <w:rPr>
                <w:rFonts w:ascii="Lato" w:eastAsiaTheme="minorEastAsia" w:hAnsi="Lato"/>
                <w:color w:val="333333"/>
              </w:rPr>
              <w:t xml:space="preserve"> (</w:t>
            </w:r>
            <w:r w:rsidRPr="00237FFC">
              <w:rPr>
                <w:rFonts w:ascii="Lato" w:eastAsiaTheme="minorEastAsia" w:hAnsi="Lato"/>
                <w:color w:val="333333"/>
              </w:rPr>
              <w:t>problem</w:t>
            </w:r>
            <w:r w:rsidR="000338E5">
              <w:rPr>
                <w:rFonts w:ascii="Lato" w:eastAsiaTheme="minorEastAsia" w:hAnsi="Lato"/>
                <w:color w:val="333333"/>
              </w:rPr>
              <w:t>atic</w:t>
            </w:r>
            <w:r w:rsidRPr="00237FFC">
              <w:rPr>
                <w:rFonts w:ascii="Lato" w:eastAsiaTheme="minorEastAsia" w:hAnsi="Lato"/>
                <w:color w:val="333333"/>
              </w:rPr>
              <w:t xml:space="preserve"> in people </w:t>
            </w:r>
            <w:r w:rsidR="000338E5">
              <w:rPr>
                <w:rFonts w:ascii="Lato" w:eastAsiaTheme="minorEastAsia" w:hAnsi="Lato"/>
                <w:color w:val="333333"/>
              </w:rPr>
              <w:t>with</w:t>
            </w:r>
            <w:r w:rsidRPr="00237FFC">
              <w:rPr>
                <w:rFonts w:ascii="Lato" w:eastAsiaTheme="minorEastAsia" w:hAnsi="Lato"/>
                <w:color w:val="333333"/>
              </w:rPr>
              <w:t xml:space="preserve"> heart failure.</w:t>
            </w:r>
            <w:r w:rsidR="000338E5">
              <w:rPr>
                <w:rFonts w:ascii="Lato" w:eastAsiaTheme="minorEastAsia" w:hAnsi="Lato"/>
                <w:color w:val="333333"/>
              </w:rPr>
              <w:t>)</w:t>
            </w:r>
            <w:r w:rsidRPr="00237FFC">
              <w:rPr>
                <w:rFonts w:ascii="Lato" w:eastAsiaTheme="minorEastAsia" w:hAnsi="Lato"/>
                <w:color w:val="333333"/>
              </w:rPr>
              <w:t xml:space="preserve"> </w:t>
            </w:r>
          </w:p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 xml:space="preserve">Increased risk of osteoporosis </w:t>
            </w:r>
          </w:p>
          <w:p w:rsidR="003E449D" w:rsidRPr="00237FFC" w:rsidRDefault="000338E5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>
              <w:rPr>
                <w:rFonts w:ascii="Lato" w:eastAsiaTheme="minorEastAsia" w:hAnsi="Lato"/>
                <w:color w:val="333333"/>
              </w:rPr>
              <w:t>Potential</w:t>
            </w:r>
            <w:r w:rsidR="003E449D" w:rsidRPr="00237FFC">
              <w:rPr>
                <w:rFonts w:ascii="Lato" w:eastAsiaTheme="minorEastAsia" w:hAnsi="Lato"/>
                <w:color w:val="333333"/>
              </w:rPr>
              <w:t xml:space="preserve"> link to bladder cancer</w:t>
            </w:r>
          </w:p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Weight gain</w:t>
            </w:r>
          </w:p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Not safe in pregnancy.</w:t>
            </w:r>
          </w:p>
        </w:tc>
      </w:tr>
      <w:tr w:rsidR="00860D57" w:rsidTr="00CB3C16">
        <w:tc>
          <w:tcPr>
            <w:tcW w:w="10207" w:type="dxa"/>
            <w:gridSpan w:val="3"/>
            <w:tcBorders>
              <w:top w:val="nil"/>
            </w:tcBorders>
          </w:tcPr>
          <w:p w:rsidR="00860D57" w:rsidRPr="00860D57" w:rsidRDefault="002465FB" w:rsidP="00860D57">
            <w:pPr>
              <w:pStyle w:val="NormalWeb"/>
              <w:spacing w:before="0" w:beforeAutospacing="0" w:after="0" w:afterAutospacing="0"/>
              <w:jc w:val="both"/>
              <w:rPr>
                <w:rFonts w:ascii="Lato" w:hAnsi="Lato"/>
                <w:color w:val="333333"/>
              </w:rPr>
            </w:pPr>
            <w:hyperlink r:id="rId15" w:history="1">
              <w:r w:rsidR="00860D57" w:rsidRPr="00860D57">
                <w:rPr>
                  <w:rStyle w:val="Hyperlink"/>
                  <w:rFonts w:ascii="Lato" w:hAnsi="Lato"/>
                </w:rPr>
                <w:t>https://patient.info/medicine/pioglitazone-tablets-for-diabetes-actos-diabiom-glidipion</w:t>
              </w:r>
            </w:hyperlink>
          </w:p>
        </w:tc>
      </w:tr>
      <w:tr w:rsidR="00860D57" w:rsidTr="00CB3C16">
        <w:tc>
          <w:tcPr>
            <w:tcW w:w="2347" w:type="dxa"/>
            <w:tcBorders>
              <w:bottom w:val="nil"/>
            </w:tcBorders>
          </w:tcPr>
          <w:p w:rsidR="003E449D" w:rsidRPr="00CB3C16" w:rsidRDefault="003E449D" w:rsidP="00CB3C16">
            <w:pPr>
              <w:rPr>
                <w:rFonts w:ascii="Lato" w:eastAsiaTheme="minorEastAsia" w:hAnsi="Lato"/>
                <w:i/>
                <w:color w:val="333333"/>
              </w:rPr>
            </w:pPr>
            <w:r w:rsidRPr="000338E5">
              <w:rPr>
                <w:rFonts w:ascii="Lato" w:eastAsiaTheme="minorEastAsia" w:hAnsi="Lato"/>
                <w:b/>
                <w:color w:val="333333"/>
              </w:rPr>
              <w:t>GLP-1 Agonists</w:t>
            </w:r>
            <w:r w:rsidRPr="00237FFC">
              <w:rPr>
                <w:rFonts w:ascii="Lato" w:eastAsiaTheme="minorEastAsia" w:hAnsi="Lato"/>
                <w:color w:val="333333"/>
              </w:rPr>
              <w:t xml:space="preserve"> </w:t>
            </w:r>
            <w:r w:rsidRPr="000338E5">
              <w:rPr>
                <w:rFonts w:ascii="Lato" w:eastAsiaTheme="minorEastAsia" w:hAnsi="Lato"/>
                <w:i/>
                <w:color w:val="333333"/>
              </w:rPr>
              <w:t>(Dulaglutide or Liraglutide)</w:t>
            </w:r>
          </w:p>
        </w:tc>
        <w:tc>
          <w:tcPr>
            <w:tcW w:w="3324" w:type="dxa"/>
            <w:tcBorders>
              <w:bottom w:val="nil"/>
            </w:tcBorders>
          </w:tcPr>
          <w:p w:rsidR="003E449D" w:rsidRPr="00237FFC" w:rsidRDefault="000338E5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Significant weight loss</w:t>
            </w:r>
          </w:p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Improves risk of heart disease</w:t>
            </w:r>
          </w:p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Low hypoglycaemia risk if used alone</w:t>
            </w:r>
          </w:p>
        </w:tc>
        <w:tc>
          <w:tcPr>
            <w:tcW w:w="4536" w:type="dxa"/>
            <w:tcBorders>
              <w:bottom w:val="nil"/>
            </w:tcBorders>
          </w:tcPr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Stomach upsets e.g. diarrhoea</w:t>
            </w:r>
          </w:p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 xml:space="preserve">Linked to pancreatitis </w:t>
            </w:r>
          </w:p>
          <w:p w:rsidR="003E449D" w:rsidRPr="00237FFC" w:rsidRDefault="003E449D" w:rsidP="00237FFC">
            <w:pPr>
              <w:jc w:val="both"/>
              <w:rPr>
                <w:rFonts w:ascii="Lato" w:eastAsiaTheme="minorEastAsia" w:hAnsi="Lato"/>
                <w:color w:val="333333"/>
              </w:rPr>
            </w:pPr>
            <w:r w:rsidRPr="00237FFC">
              <w:rPr>
                <w:rFonts w:ascii="Lato" w:eastAsiaTheme="minorEastAsia" w:hAnsi="Lato"/>
                <w:color w:val="333333"/>
              </w:rPr>
              <w:t>Injections</w:t>
            </w:r>
            <w:r w:rsidR="00CB3C16">
              <w:rPr>
                <w:rFonts w:ascii="Lato" w:eastAsiaTheme="minorEastAsia" w:hAnsi="Lato"/>
                <w:color w:val="333333"/>
              </w:rPr>
              <w:t xml:space="preserve"> </w:t>
            </w:r>
            <w:r w:rsidRPr="00237FFC">
              <w:rPr>
                <w:rFonts w:ascii="Lato" w:eastAsiaTheme="minorEastAsia" w:hAnsi="Lato"/>
                <w:color w:val="333333"/>
              </w:rPr>
              <w:t xml:space="preserve">can cause small lumps </w:t>
            </w:r>
          </w:p>
        </w:tc>
      </w:tr>
      <w:tr w:rsidR="00860D57" w:rsidTr="00CB3C16">
        <w:tc>
          <w:tcPr>
            <w:tcW w:w="10207" w:type="dxa"/>
            <w:gridSpan w:val="3"/>
            <w:tcBorders>
              <w:top w:val="nil"/>
            </w:tcBorders>
          </w:tcPr>
          <w:p w:rsidR="00860D57" w:rsidRPr="00860D57" w:rsidRDefault="002465FB" w:rsidP="00860D57">
            <w:pPr>
              <w:pStyle w:val="NormalWeb"/>
              <w:spacing w:before="0" w:beforeAutospacing="0" w:after="0" w:afterAutospacing="0"/>
              <w:jc w:val="both"/>
              <w:rPr>
                <w:rFonts w:ascii="Lato" w:hAnsi="Lato"/>
                <w:color w:val="333333"/>
              </w:rPr>
            </w:pPr>
            <w:hyperlink r:id="rId16" w:history="1">
              <w:r w:rsidR="00860D57" w:rsidRPr="00860D57">
                <w:rPr>
                  <w:rStyle w:val="Hyperlink"/>
                  <w:rFonts w:ascii="Lato" w:hAnsi="Lato"/>
                </w:rPr>
                <w:t>https://patient.info/medicine/liraglutide-for-diabetes-victoza</w:t>
              </w:r>
            </w:hyperlink>
            <w:r w:rsidR="00860D57" w:rsidRPr="00860D57">
              <w:rPr>
                <w:rFonts w:ascii="Lato" w:hAnsi="Lato"/>
                <w:color w:val="333333"/>
              </w:rPr>
              <w:tab/>
            </w:r>
          </w:p>
        </w:tc>
      </w:tr>
    </w:tbl>
    <w:p w:rsidR="00C97083" w:rsidRDefault="00C97083" w:rsidP="00527491">
      <w:pPr>
        <w:jc w:val="both"/>
      </w:pPr>
    </w:p>
    <w:p w:rsidR="003E449D" w:rsidRPr="008B3494" w:rsidRDefault="00CB3C16" w:rsidP="00CB3C16">
      <w:pPr>
        <w:jc w:val="both"/>
        <w:rPr>
          <w:rFonts w:ascii="Lato" w:hAnsi="Lato"/>
          <w:color w:val="333333"/>
        </w:rPr>
      </w:pPr>
      <w:r w:rsidRPr="008B3494">
        <w:rPr>
          <w:rFonts w:ascii="Lato" w:hAnsi="Lato"/>
          <w:b/>
          <w:color w:val="333333"/>
        </w:rPr>
        <w:t>Driving</w:t>
      </w:r>
      <w:r w:rsidRPr="008B3494">
        <w:rPr>
          <w:rFonts w:ascii="Lato" w:hAnsi="Lato"/>
          <w:color w:val="333333"/>
        </w:rPr>
        <w:t>:</w:t>
      </w:r>
      <w:hyperlink r:id="rId17" w:history="1">
        <w:r w:rsidR="008B3494" w:rsidRPr="008B3494">
          <w:rPr>
            <w:rStyle w:val="Hyperlink"/>
            <w:rFonts w:ascii="Lato" w:hAnsi="Lato"/>
          </w:rPr>
          <w:t>https://www.mydiabetesmyway.scot.nhs.uk/admin/UploadedFiles/A5_6pp_Driving_TREND_CONNECT.pdf</w:t>
        </w:r>
      </w:hyperlink>
    </w:p>
    <w:p w:rsidR="003E449D" w:rsidRDefault="003E449D" w:rsidP="00527491">
      <w:pPr>
        <w:jc w:val="both"/>
      </w:pPr>
    </w:p>
    <w:p w:rsidR="008B3494" w:rsidRDefault="00CB3C16" w:rsidP="008B3494">
      <w:pPr>
        <w:pStyle w:val="NormalWeb"/>
        <w:spacing w:before="0" w:beforeAutospacing="0" w:after="0" w:afterAutospacing="0"/>
        <w:jc w:val="both"/>
        <w:rPr>
          <w:rFonts w:ascii="Lato" w:hAnsi="Lato"/>
          <w:color w:val="333333"/>
        </w:rPr>
      </w:pPr>
      <w:r w:rsidRPr="008B3494">
        <w:rPr>
          <w:rFonts w:ascii="Lato" w:hAnsi="Lato"/>
          <w:b/>
          <w:color w:val="333333"/>
        </w:rPr>
        <w:t xml:space="preserve">Sick Day Rules: </w:t>
      </w:r>
      <w:hyperlink r:id="rId18" w:history="1">
        <w:r w:rsidR="008B3494" w:rsidRPr="008B3494">
          <w:rPr>
            <w:rStyle w:val="Hyperlink"/>
            <w:rFonts w:ascii="Lato" w:hAnsi="Lato"/>
          </w:rPr>
          <w:t>https://ihub.scot/media/1290/20170814-medicines-sick-day-rules-card-v2-0-print.pdf</w:t>
        </w:r>
      </w:hyperlink>
      <w:r w:rsidR="008B3494" w:rsidRPr="008B3494">
        <w:rPr>
          <w:rFonts w:ascii="Lato" w:hAnsi="Lato"/>
          <w:color w:val="333333"/>
        </w:rPr>
        <w:tab/>
      </w:r>
    </w:p>
    <w:p w:rsidR="008B3494" w:rsidRDefault="008B3494" w:rsidP="008B3494">
      <w:pPr>
        <w:pStyle w:val="NormalWeb"/>
        <w:spacing w:before="0" w:beforeAutospacing="0" w:after="0" w:afterAutospacing="0"/>
        <w:jc w:val="both"/>
        <w:rPr>
          <w:rFonts w:ascii="Lato" w:hAnsi="Lato"/>
          <w:color w:val="333333"/>
        </w:rPr>
      </w:pPr>
    </w:p>
    <w:p w:rsidR="00025005" w:rsidRPr="008B3494" w:rsidRDefault="008E55F6" w:rsidP="008B3494">
      <w:pPr>
        <w:pStyle w:val="NormalWeb"/>
        <w:spacing w:before="0" w:beforeAutospacing="0" w:after="0" w:afterAutospacing="0"/>
        <w:jc w:val="both"/>
        <w:rPr>
          <w:rFonts w:ascii="Lato" w:hAnsi="Lato"/>
          <w:b/>
          <w:color w:val="333333"/>
        </w:rPr>
      </w:pPr>
      <w:r>
        <w:rPr>
          <w:rFonts w:ascii="Lato" w:hAnsi="Lato"/>
          <w:b/>
          <w:color w:val="333333"/>
        </w:rPr>
        <w:t>Pre-</w:t>
      </w:r>
      <w:r w:rsidR="008B3494" w:rsidRPr="008B3494">
        <w:rPr>
          <w:rFonts w:ascii="Lato" w:hAnsi="Lato"/>
          <w:b/>
          <w:color w:val="333333"/>
        </w:rPr>
        <w:t>Pregnancy</w:t>
      </w:r>
      <w:r w:rsidR="008B3494">
        <w:rPr>
          <w:rFonts w:ascii="Lato" w:hAnsi="Lato"/>
          <w:b/>
          <w:color w:val="333333"/>
        </w:rPr>
        <w:t xml:space="preserve">: </w:t>
      </w:r>
      <w:r w:rsidR="008B3494">
        <w:rPr>
          <w:rFonts w:ascii="Lato" w:hAnsi="Lato"/>
          <w:color w:val="333333"/>
          <w:sz w:val="26"/>
          <w:szCs w:val="26"/>
        </w:rPr>
        <w:t>P</w:t>
      </w:r>
      <w:r w:rsidR="00CB3C16">
        <w:rPr>
          <w:rFonts w:ascii="Lato" w:hAnsi="Lato"/>
          <w:color w:val="333333"/>
          <w:sz w:val="26"/>
          <w:szCs w:val="26"/>
        </w:rPr>
        <w:t xml:space="preserve">lease contact your GP </w:t>
      </w:r>
      <w:r>
        <w:rPr>
          <w:rFonts w:ascii="Lato" w:hAnsi="Lato"/>
          <w:color w:val="333333"/>
          <w:sz w:val="26"/>
          <w:szCs w:val="26"/>
        </w:rPr>
        <w:t>if you are planning a pregnancy</w:t>
      </w:r>
      <w:r w:rsidR="00CB3C16">
        <w:rPr>
          <w:rFonts w:ascii="Lato" w:hAnsi="Lato"/>
          <w:color w:val="333333"/>
          <w:sz w:val="26"/>
          <w:szCs w:val="26"/>
        </w:rPr>
        <w:t xml:space="preserve"> to discuss changes to your medication.</w:t>
      </w:r>
    </w:p>
    <w:sectPr w:rsidR="00025005" w:rsidRPr="008B3494" w:rsidSect="00873456">
      <w:footerReference w:type="even" r:id="rId19"/>
      <w:footerReference w:type="default" r:id="rId2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57D" w:rsidRDefault="00CC157D" w:rsidP="003E449D">
      <w:r>
        <w:separator/>
      </w:r>
    </w:p>
  </w:endnote>
  <w:endnote w:type="continuationSeparator" w:id="0">
    <w:p w:rsidR="00CC157D" w:rsidRDefault="00CC157D" w:rsidP="003E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858547166"/>
      <w:docPartObj>
        <w:docPartGallery w:val="Page Numbers (Bottom of Page)"/>
        <w:docPartUnique/>
      </w:docPartObj>
    </w:sdtPr>
    <w:sdtContent>
      <w:p w:rsidR="008B3494" w:rsidRDefault="002465FB" w:rsidP="008E7B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8B349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B3494" w:rsidRDefault="008B3494" w:rsidP="008B34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977056838"/>
      <w:docPartObj>
        <w:docPartGallery w:val="Page Numbers (Bottom of Page)"/>
        <w:docPartUnique/>
      </w:docPartObj>
    </w:sdtPr>
    <w:sdtContent>
      <w:p w:rsidR="008B3494" w:rsidRDefault="002465FB" w:rsidP="008E7B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8B349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B421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8B3494" w:rsidRDefault="008B3494" w:rsidP="008B34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57D" w:rsidRDefault="00CC157D" w:rsidP="003E449D">
      <w:r>
        <w:separator/>
      </w:r>
    </w:p>
  </w:footnote>
  <w:footnote w:type="continuationSeparator" w:id="0">
    <w:p w:rsidR="00CC157D" w:rsidRDefault="00CC157D" w:rsidP="003E4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5A86"/>
    <w:multiLevelType w:val="multilevel"/>
    <w:tmpl w:val="1F3C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0E1C0E"/>
    <w:multiLevelType w:val="hybridMultilevel"/>
    <w:tmpl w:val="545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53"/>
    <w:rsid w:val="00025005"/>
    <w:rsid w:val="000338E5"/>
    <w:rsid w:val="00050277"/>
    <w:rsid w:val="00082003"/>
    <w:rsid w:val="00092894"/>
    <w:rsid w:val="000B421E"/>
    <w:rsid w:val="00115F81"/>
    <w:rsid w:val="0018178E"/>
    <w:rsid w:val="001D4040"/>
    <w:rsid w:val="001E4489"/>
    <w:rsid w:val="00225D04"/>
    <w:rsid w:val="00237FFC"/>
    <w:rsid w:val="002465FB"/>
    <w:rsid w:val="003A4B97"/>
    <w:rsid w:val="003E449D"/>
    <w:rsid w:val="00466D81"/>
    <w:rsid w:val="004A1788"/>
    <w:rsid w:val="004A40D5"/>
    <w:rsid w:val="005176DE"/>
    <w:rsid w:val="00527491"/>
    <w:rsid w:val="005A2288"/>
    <w:rsid w:val="005C224B"/>
    <w:rsid w:val="00614B7D"/>
    <w:rsid w:val="00721278"/>
    <w:rsid w:val="007507B7"/>
    <w:rsid w:val="007565BF"/>
    <w:rsid w:val="007649C3"/>
    <w:rsid w:val="007E4BE1"/>
    <w:rsid w:val="007F3AC9"/>
    <w:rsid w:val="0081680F"/>
    <w:rsid w:val="008509F2"/>
    <w:rsid w:val="00857F08"/>
    <w:rsid w:val="00860D57"/>
    <w:rsid w:val="00873456"/>
    <w:rsid w:val="00895024"/>
    <w:rsid w:val="008A3EC5"/>
    <w:rsid w:val="008B3494"/>
    <w:rsid w:val="008C557F"/>
    <w:rsid w:val="008E55F6"/>
    <w:rsid w:val="00921872"/>
    <w:rsid w:val="00931856"/>
    <w:rsid w:val="00934E14"/>
    <w:rsid w:val="00944E4A"/>
    <w:rsid w:val="009A209B"/>
    <w:rsid w:val="009C7385"/>
    <w:rsid w:val="00A8311F"/>
    <w:rsid w:val="00A83F12"/>
    <w:rsid w:val="00AA4C36"/>
    <w:rsid w:val="00AD68D0"/>
    <w:rsid w:val="00BD1451"/>
    <w:rsid w:val="00C031F6"/>
    <w:rsid w:val="00C97083"/>
    <w:rsid w:val="00CB3C16"/>
    <w:rsid w:val="00CB676B"/>
    <w:rsid w:val="00CC157D"/>
    <w:rsid w:val="00CC36E5"/>
    <w:rsid w:val="00CE5ED2"/>
    <w:rsid w:val="00D0611A"/>
    <w:rsid w:val="00D740CC"/>
    <w:rsid w:val="00DE6853"/>
    <w:rsid w:val="00E71F0B"/>
    <w:rsid w:val="00E76058"/>
    <w:rsid w:val="00ED0CC3"/>
    <w:rsid w:val="00F4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00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DE68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8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53"/>
    <w:pPr>
      <w:spacing w:before="100" w:beforeAutospacing="1" w:after="100" w:afterAutospacing="1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DE68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DE6853"/>
  </w:style>
  <w:style w:type="character" w:customStyle="1" w:styleId="Heading3Char">
    <w:name w:val="Heading 3 Char"/>
    <w:basedOn w:val="DefaultParagraphFont"/>
    <w:link w:val="Heading3"/>
    <w:uiPriority w:val="9"/>
    <w:rsid w:val="00DE685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DE6853"/>
    <w:rPr>
      <w:i/>
      <w:iCs/>
    </w:rPr>
  </w:style>
  <w:style w:type="character" w:styleId="Hyperlink">
    <w:name w:val="Hyperlink"/>
    <w:basedOn w:val="DefaultParagraphFont"/>
    <w:uiPriority w:val="99"/>
    <w:unhideWhenUsed/>
    <w:rsid w:val="007F3AC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8A3E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40C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0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44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9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44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9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B3494"/>
  </w:style>
  <w:style w:type="paragraph" w:styleId="BalloonText">
    <w:name w:val="Balloon Text"/>
    <w:basedOn w:val="Normal"/>
    <w:link w:val="BalloonTextChar"/>
    <w:uiPriority w:val="99"/>
    <w:semiHidden/>
    <w:unhideWhenUsed/>
    <w:rsid w:val="00115F8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F81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3F1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atient.info/medicine/sitagliptin-for-diabetes-januvia" TargetMode="External"/><Relationship Id="rId18" Type="http://schemas.openxmlformats.org/officeDocument/2006/relationships/hyperlink" Target="https://ihub.scot/media/1290/20170814-medicines-sick-day-rules-card-v2-0-print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atient.mydiabetesmyway.scot.nhs.uk/Registration.aspx" TargetMode="External"/><Relationship Id="rId12" Type="http://schemas.openxmlformats.org/officeDocument/2006/relationships/hyperlink" Target="https://patient.info/medicine/gliclazide-bilxona-diamicron-laaglyda-nazdol-zicron" TargetMode="External"/><Relationship Id="rId17" Type="http://schemas.openxmlformats.org/officeDocument/2006/relationships/hyperlink" Target="https://www.mydiabetesmyway.scot.nhs.uk/admin/UploadedFiles/A5_6pp_Driving_TREND_CONNEC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tient.info/medicine/liraglutide-for-diabetes-victoza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tient.info/medicine/metformin-for-diabet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tient.info/medicine/pioglitazone-tablets-for-diabetes-actos-diabiom-glidipion" TargetMode="External"/><Relationship Id="rId10" Type="http://schemas.openxmlformats.org/officeDocument/2006/relationships/hyperlink" Target="https://www.mydiabetesmyway.scot.nhs.uk/ContentSubSections.aspx?id=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iabetes.org.uk/guide-to-diabetes/enjoy-food/eating-with-diabetes/meal-plans-" TargetMode="External"/><Relationship Id="rId14" Type="http://schemas.openxmlformats.org/officeDocument/2006/relationships/hyperlink" Target="https://patient.info/medicine/empagliflozin-tablets-for-diabetes-jardian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CAPTIEUX Mireille</dc:creator>
  <cp:lastModifiedBy>Geoff Smith</cp:lastModifiedBy>
  <cp:revision>2</cp:revision>
  <dcterms:created xsi:type="dcterms:W3CDTF">2021-02-04T11:11:00Z</dcterms:created>
  <dcterms:modified xsi:type="dcterms:W3CDTF">2021-02-04T11:11:00Z</dcterms:modified>
</cp:coreProperties>
</file>